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B67" w:rsidRPr="00701B67" w:rsidRDefault="00701B67" w:rsidP="00701B67">
      <w:pPr>
        <w:pStyle w:val="NoSpacing"/>
      </w:pPr>
      <w:r w:rsidRPr="00701B67">
        <w:t>Gary L. Stuart</w:t>
      </w:r>
    </w:p>
    <w:p w:rsidR="00701B67" w:rsidRPr="00701B67" w:rsidRDefault="00701B67" w:rsidP="00701B67">
      <w:pPr>
        <w:pStyle w:val="NoSpacing"/>
      </w:pPr>
      <w:r w:rsidRPr="00701B67">
        <w:t>7000 North 16</w:t>
      </w:r>
      <w:r w:rsidRPr="00701B67">
        <w:rPr>
          <w:vertAlign w:val="superscript"/>
        </w:rPr>
        <w:t>th</w:t>
      </w:r>
      <w:r w:rsidRPr="00701B67">
        <w:t xml:space="preserve"> Street, Ste. 120</w:t>
      </w:r>
    </w:p>
    <w:p w:rsidR="00701B67" w:rsidRPr="00701B67" w:rsidRDefault="00701B67" w:rsidP="00701B67">
      <w:pPr>
        <w:pStyle w:val="NoSpacing"/>
      </w:pPr>
      <w:r w:rsidRPr="00701B67">
        <w:t>Phoenix, AZ, 85020</w:t>
      </w:r>
    </w:p>
    <w:p w:rsidR="00701B67" w:rsidRPr="00701B67" w:rsidRDefault="00701B67" w:rsidP="00701B67">
      <w:pPr>
        <w:pStyle w:val="NoSpacing"/>
      </w:pPr>
      <w:r w:rsidRPr="00701B67">
        <w:t>602-281-1111</w:t>
      </w:r>
    </w:p>
    <w:p w:rsidR="00701B67" w:rsidRPr="00701B67" w:rsidRDefault="00701B67" w:rsidP="00701B67">
      <w:pPr>
        <w:pStyle w:val="NoSpacing"/>
      </w:pPr>
      <w:hyperlink r:id="rId4" w:history="1">
        <w:r w:rsidRPr="00701B67">
          <w:rPr>
            <w:rStyle w:val="Hyperlink"/>
            <w:sz w:val="24"/>
            <w:szCs w:val="24"/>
          </w:rPr>
          <w:t>gstuart@keyed.com</w:t>
        </w:r>
      </w:hyperlink>
      <w:r w:rsidRPr="00701B67">
        <w:t xml:space="preserve"> </w:t>
      </w:r>
      <w:r>
        <w:t xml:space="preserve">  </w:t>
      </w:r>
      <w:hyperlink r:id="rId5" w:history="1">
        <w:r w:rsidRPr="000F5A58">
          <w:rPr>
            <w:rStyle w:val="Hyperlink"/>
            <w:sz w:val="24"/>
            <w:szCs w:val="24"/>
          </w:rPr>
          <w:t>gary.stuart@asu.edu</w:t>
        </w:r>
      </w:hyperlink>
      <w:r>
        <w:t xml:space="preserve"> </w:t>
      </w:r>
    </w:p>
    <w:p w:rsidR="00701B67" w:rsidRPr="00701B67" w:rsidRDefault="00701B67" w:rsidP="00701B67">
      <w:pPr>
        <w:pStyle w:val="NoSpacing"/>
      </w:pPr>
      <w:hyperlink r:id="rId6" w:history="1">
        <w:r w:rsidRPr="00701B67">
          <w:rPr>
            <w:rStyle w:val="Hyperlink"/>
            <w:sz w:val="24"/>
            <w:szCs w:val="24"/>
          </w:rPr>
          <w:t>www.ethicslaw.com</w:t>
        </w:r>
      </w:hyperlink>
    </w:p>
    <w:p w:rsidR="00701B67" w:rsidRPr="00701B67" w:rsidRDefault="00701B67" w:rsidP="00701B67">
      <w:pPr>
        <w:pStyle w:val="NoSpacing"/>
      </w:pPr>
      <w:hyperlink r:id="rId7" w:history="1">
        <w:r w:rsidRPr="00701B67">
          <w:rPr>
            <w:rStyle w:val="Hyperlink"/>
            <w:sz w:val="24"/>
            <w:szCs w:val="24"/>
          </w:rPr>
          <w:t>www.garylstuart.com</w:t>
        </w:r>
      </w:hyperlink>
      <w:r w:rsidRPr="00701B67">
        <w:t xml:space="preserve"> </w:t>
      </w:r>
    </w:p>
    <w:p w:rsidR="00701B67" w:rsidRPr="00701B67" w:rsidRDefault="00701B67" w:rsidP="00701B67">
      <w:pPr>
        <w:ind w:firstLine="432"/>
        <w:rPr>
          <w:rFonts w:asciiTheme="minorHAnsi" w:hAnsiTheme="minorHAnsi"/>
          <w:color w:val="000000"/>
          <w:sz w:val="24"/>
          <w:szCs w:val="24"/>
        </w:rPr>
      </w:pPr>
    </w:p>
    <w:p w:rsidR="00701B67" w:rsidRPr="00701B67" w:rsidRDefault="00701B67" w:rsidP="00701B67">
      <w:pPr>
        <w:ind w:firstLine="432"/>
        <w:rPr>
          <w:rFonts w:asciiTheme="minorHAnsi" w:hAnsiTheme="minorHAnsi"/>
          <w:color w:val="000000"/>
          <w:sz w:val="24"/>
          <w:szCs w:val="24"/>
        </w:rPr>
      </w:pPr>
      <w:r w:rsidRPr="00701B67">
        <w:rPr>
          <w:rFonts w:asciiTheme="minorHAnsi" w:hAnsiTheme="minorHAnsi"/>
          <w:color w:val="000000"/>
          <w:sz w:val="24"/>
          <w:szCs w:val="24"/>
        </w:rPr>
        <w:t xml:space="preserve">Stuart earned degrees in business and law at the University of Arizona in 1964, and 1967 respectively, graduated in the top ten-percent of his law school class, and served as an editor of the </w:t>
      </w:r>
      <w:r w:rsidRPr="00701B67">
        <w:rPr>
          <w:rFonts w:asciiTheme="minorHAnsi" w:hAnsiTheme="minorHAnsi"/>
          <w:i/>
          <w:color w:val="000000"/>
          <w:sz w:val="24"/>
          <w:szCs w:val="24"/>
        </w:rPr>
        <w:t>Arizona Law Review</w:t>
      </w:r>
      <w:r w:rsidRPr="00701B67">
        <w:rPr>
          <w:rFonts w:asciiTheme="minorHAnsi" w:hAnsiTheme="minorHAnsi"/>
          <w:color w:val="000000"/>
          <w:sz w:val="24"/>
          <w:szCs w:val="24"/>
        </w:rPr>
        <w:t xml:space="preserve">. He joined Jennings, Strouss, &amp; Salmon in 1967. Early in his career, he began to teach, write, and lecture at both the local and national levels. Along the way, he acquired professional recognition by making the “Hallmark” lists at the top of his profession, including </w:t>
      </w:r>
      <w:r w:rsidRPr="00701B67">
        <w:rPr>
          <w:rFonts w:asciiTheme="minorHAnsi" w:hAnsiTheme="minorHAnsi"/>
          <w:i/>
          <w:color w:val="000000"/>
          <w:sz w:val="24"/>
          <w:szCs w:val="24"/>
        </w:rPr>
        <w:t>Who’s Who in American Law</w:t>
      </w:r>
      <w:r w:rsidRPr="00701B67">
        <w:rPr>
          <w:rFonts w:asciiTheme="minorHAnsi" w:hAnsiTheme="minorHAnsi"/>
          <w:color w:val="000000"/>
          <w:sz w:val="24"/>
          <w:szCs w:val="24"/>
        </w:rPr>
        <w:t xml:space="preserve"> (First Edition), Martindale-Hubbell’s </w:t>
      </w:r>
      <w:r w:rsidRPr="00701B67">
        <w:rPr>
          <w:rFonts w:asciiTheme="minorHAnsi" w:hAnsiTheme="minorHAnsi"/>
          <w:i/>
          <w:color w:val="000000"/>
          <w:sz w:val="24"/>
          <w:szCs w:val="24"/>
        </w:rPr>
        <w:t>Premier American Lawyers</w:t>
      </w:r>
      <w:r w:rsidRPr="00701B67">
        <w:rPr>
          <w:rFonts w:asciiTheme="minorHAnsi" w:hAnsiTheme="minorHAnsi"/>
          <w:color w:val="000000"/>
          <w:sz w:val="24"/>
          <w:szCs w:val="24"/>
        </w:rPr>
        <w:t xml:space="preserve">, Woodward &amp; Whites’ </w:t>
      </w:r>
      <w:r w:rsidRPr="00701B67">
        <w:rPr>
          <w:rFonts w:asciiTheme="minorHAnsi" w:hAnsiTheme="minorHAnsi"/>
          <w:i/>
          <w:color w:val="000000"/>
          <w:sz w:val="24"/>
          <w:szCs w:val="24"/>
        </w:rPr>
        <w:t>Best Lawyers in America</w:t>
      </w:r>
      <w:r w:rsidRPr="00701B67">
        <w:rPr>
          <w:rFonts w:asciiTheme="minorHAnsi" w:hAnsiTheme="minorHAnsi"/>
          <w:color w:val="000000"/>
          <w:sz w:val="24"/>
          <w:szCs w:val="24"/>
        </w:rPr>
        <w:t xml:space="preserve">, and </w:t>
      </w:r>
      <w:r w:rsidRPr="00701B67">
        <w:rPr>
          <w:rFonts w:asciiTheme="minorHAnsi" w:hAnsiTheme="minorHAnsi"/>
          <w:i/>
          <w:color w:val="000000"/>
          <w:sz w:val="24"/>
          <w:szCs w:val="24"/>
        </w:rPr>
        <w:t>“Arizona’s Finest Lawyers</w:t>
      </w:r>
      <w:r w:rsidRPr="00701B67">
        <w:rPr>
          <w:rFonts w:asciiTheme="minorHAnsi" w:hAnsiTheme="minorHAnsi"/>
          <w:color w:val="000000"/>
          <w:sz w:val="24"/>
          <w:szCs w:val="24"/>
        </w:rPr>
        <w:t xml:space="preserve">.” He tried over 100 jury cases to a conclusion and earned the rank of Advocate as a juried member of the </w:t>
      </w:r>
      <w:r w:rsidRPr="00701B67">
        <w:rPr>
          <w:rFonts w:asciiTheme="minorHAnsi" w:hAnsiTheme="minorHAnsi"/>
          <w:i/>
          <w:color w:val="000000"/>
          <w:sz w:val="24"/>
          <w:szCs w:val="24"/>
        </w:rPr>
        <w:t>American Board of Trial Advocates</w:t>
      </w:r>
      <w:r w:rsidRPr="00701B67">
        <w:rPr>
          <w:rFonts w:asciiTheme="minorHAnsi" w:hAnsiTheme="minorHAnsi"/>
          <w:color w:val="000000"/>
          <w:sz w:val="24"/>
          <w:szCs w:val="24"/>
        </w:rPr>
        <w:t xml:space="preserve">. The Arizona State Bar certified him as a </w:t>
      </w:r>
      <w:r w:rsidRPr="00701B67">
        <w:rPr>
          <w:rFonts w:asciiTheme="minorHAnsi" w:hAnsiTheme="minorHAnsi"/>
          <w:i/>
          <w:color w:val="000000"/>
          <w:sz w:val="24"/>
          <w:szCs w:val="24"/>
        </w:rPr>
        <w:t>Specialist</w:t>
      </w:r>
      <w:r w:rsidRPr="00701B67">
        <w:rPr>
          <w:rFonts w:asciiTheme="minorHAnsi" w:hAnsiTheme="minorHAnsi"/>
          <w:color w:val="000000"/>
          <w:sz w:val="24"/>
          <w:szCs w:val="24"/>
        </w:rPr>
        <w:t xml:space="preserve"> in trial practice. The </w:t>
      </w:r>
      <w:r w:rsidRPr="00701B67">
        <w:rPr>
          <w:rFonts w:asciiTheme="minorHAnsi" w:hAnsiTheme="minorHAnsi"/>
          <w:i/>
          <w:color w:val="000000"/>
          <w:sz w:val="24"/>
          <w:szCs w:val="24"/>
        </w:rPr>
        <w:t xml:space="preserve">National Institute of Trial Advocacy </w:t>
      </w:r>
      <w:r w:rsidRPr="00701B67">
        <w:rPr>
          <w:rFonts w:asciiTheme="minorHAnsi" w:hAnsiTheme="minorHAnsi"/>
          <w:color w:val="000000"/>
          <w:sz w:val="24"/>
          <w:szCs w:val="24"/>
        </w:rPr>
        <w:t xml:space="preserve">honored him with its “Distinguished Faculty” designation in 1994. Stuart completed an eight-year term on the </w:t>
      </w:r>
      <w:r w:rsidRPr="00701B67">
        <w:rPr>
          <w:rFonts w:asciiTheme="minorHAnsi" w:hAnsiTheme="minorHAnsi"/>
          <w:i/>
          <w:color w:val="000000"/>
          <w:sz w:val="24"/>
          <w:szCs w:val="24"/>
        </w:rPr>
        <w:t xml:space="preserve">Arizona Board of Regents, </w:t>
      </w:r>
      <w:r w:rsidRPr="00701B67">
        <w:rPr>
          <w:rFonts w:asciiTheme="minorHAnsi" w:hAnsiTheme="minorHAnsi"/>
          <w:color w:val="000000"/>
          <w:sz w:val="24"/>
          <w:szCs w:val="24"/>
        </w:rPr>
        <w:t>and served as President in 2004-2005</w:t>
      </w:r>
      <w:r w:rsidRPr="00701B67">
        <w:rPr>
          <w:rFonts w:asciiTheme="minorHAnsi" w:hAnsiTheme="minorHAnsi"/>
          <w:i/>
          <w:color w:val="000000"/>
          <w:sz w:val="24"/>
          <w:szCs w:val="24"/>
        </w:rPr>
        <w:t>.</w:t>
      </w:r>
      <w:r w:rsidRPr="00701B67">
        <w:rPr>
          <w:rFonts w:asciiTheme="minorHAnsi" w:hAnsiTheme="minorHAnsi"/>
          <w:color w:val="000000"/>
          <w:sz w:val="24"/>
          <w:szCs w:val="24"/>
        </w:rPr>
        <w:t xml:space="preserve"> </w:t>
      </w:r>
      <w:r w:rsidR="00B5306A" w:rsidRPr="00701B67">
        <w:rPr>
          <w:rFonts w:asciiTheme="minorHAnsi" w:hAnsiTheme="minorHAnsi"/>
          <w:color w:val="000000"/>
          <w:sz w:val="24"/>
          <w:szCs w:val="24"/>
        </w:rPr>
        <w:t xml:space="preserve">The Maricopa County Bar Association inducted him into the </w:t>
      </w:r>
      <w:r w:rsidR="00B5306A" w:rsidRPr="00B5306A">
        <w:rPr>
          <w:rFonts w:asciiTheme="minorHAnsi" w:hAnsiTheme="minorHAnsi"/>
          <w:i/>
          <w:color w:val="000000"/>
          <w:sz w:val="24"/>
          <w:szCs w:val="24"/>
        </w:rPr>
        <w:t>Arizona Lawyers Hall of Fame</w:t>
      </w:r>
      <w:r w:rsidR="00B5306A" w:rsidRPr="00701B67">
        <w:rPr>
          <w:rFonts w:asciiTheme="minorHAnsi" w:hAnsiTheme="minorHAnsi"/>
          <w:color w:val="000000"/>
          <w:sz w:val="24"/>
          <w:szCs w:val="24"/>
        </w:rPr>
        <w:t xml:space="preserve"> in 2010.</w:t>
      </w:r>
    </w:p>
    <w:p w:rsidR="00701B67" w:rsidRPr="00701B67" w:rsidRDefault="00701B67" w:rsidP="00701B67">
      <w:pPr>
        <w:ind w:firstLine="360"/>
        <w:rPr>
          <w:rFonts w:asciiTheme="minorHAnsi" w:hAnsiTheme="minorHAnsi"/>
          <w:color w:val="000000"/>
          <w:sz w:val="24"/>
          <w:szCs w:val="24"/>
        </w:rPr>
      </w:pPr>
      <w:r w:rsidRPr="00701B67">
        <w:rPr>
          <w:rFonts w:asciiTheme="minorHAnsi" w:hAnsiTheme="minorHAnsi"/>
          <w:color w:val="000000"/>
          <w:sz w:val="24"/>
          <w:szCs w:val="24"/>
        </w:rPr>
        <w:t xml:space="preserve">Stuart serves the Sandra Day O’Connor College of Law in two capacities. He is the Senior Policy Advisor to Dean Paul Berman and teaches Legal Writing, Ethics, Appellate Advocacy, and Trial Advocacy. He also practices law part time, and is a consultant to many Arizona lawyers and law firms in matters of professional responsibility and legal malpractice cases. He is a frequent CLE lecturer in ethics and legal writing. </w:t>
      </w:r>
      <w:r w:rsidRPr="00701B67">
        <w:rPr>
          <w:rFonts w:asciiTheme="minorHAnsi" w:hAnsiTheme="minorHAnsi"/>
          <w:color w:val="000000"/>
          <w:sz w:val="24"/>
          <w:szCs w:val="24"/>
        </w:rPr>
        <w:t xml:space="preserve">He taught as Adjunct Faculty at the University of Arizona James E. Rogers College of Law (2000-2005) and has been on the Sandra Day O’Connor College of Law Adjunct Faculty continuously since 1994. </w:t>
      </w:r>
    </w:p>
    <w:p w:rsidR="00766273" w:rsidRPr="00701B67" w:rsidRDefault="00701B67" w:rsidP="00701B67">
      <w:pPr>
        <w:ind w:firstLine="360"/>
        <w:rPr>
          <w:rFonts w:asciiTheme="minorHAnsi" w:hAnsiTheme="minorHAnsi" w:cs="Times New Roman"/>
          <w:sz w:val="24"/>
          <w:szCs w:val="24"/>
        </w:rPr>
      </w:pPr>
      <w:r w:rsidRPr="00701B67">
        <w:rPr>
          <w:rFonts w:asciiTheme="minorHAnsi" w:hAnsiTheme="minorHAnsi"/>
          <w:color w:val="000000"/>
          <w:sz w:val="24"/>
          <w:szCs w:val="24"/>
        </w:rPr>
        <w:t xml:space="preserve">Stuart </w:t>
      </w:r>
      <w:r w:rsidRPr="00701B67">
        <w:rPr>
          <w:rFonts w:asciiTheme="minorHAnsi" w:hAnsiTheme="minorHAnsi"/>
          <w:color w:val="000000"/>
          <w:sz w:val="24"/>
          <w:szCs w:val="24"/>
        </w:rPr>
        <w:t xml:space="preserve">has published </w:t>
      </w:r>
      <w:r w:rsidRPr="00701B67">
        <w:rPr>
          <w:rFonts w:asciiTheme="minorHAnsi" w:hAnsiTheme="minorHAnsi"/>
          <w:color w:val="000000"/>
          <w:sz w:val="24"/>
          <w:szCs w:val="24"/>
        </w:rPr>
        <w:t xml:space="preserve">numerous </w:t>
      </w:r>
      <w:r w:rsidRPr="00701B67">
        <w:rPr>
          <w:rFonts w:asciiTheme="minorHAnsi" w:hAnsiTheme="minorHAnsi"/>
          <w:color w:val="000000"/>
          <w:sz w:val="24"/>
          <w:szCs w:val="24"/>
        </w:rPr>
        <w:t xml:space="preserve">law review and journal articles, op-ed pieces, essays, stories, over fifty CLE booklets, and six books including: </w:t>
      </w:r>
      <w:r w:rsidRPr="00701B67">
        <w:rPr>
          <w:rFonts w:asciiTheme="minorHAnsi" w:hAnsiTheme="minorHAnsi"/>
          <w:i/>
          <w:color w:val="000000"/>
          <w:sz w:val="24"/>
          <w:szCs w:val="24"/>
        </w:rPr>
        <w:t>“The Ethical Trial Lawyer,”</w:t>
      </w:r>
      <w:r w:rsidRPr="00701B67">
        <w:rPr>
          <w:rFonts w:asciiTheme="minorHAnsi" w:hAnsiTheme="minorHAnsi"/>
          <w:color w:val="000000"/>
          <w:sz w:val="24"/>
          <w:szCs w:val="24"/>
        </w:rPr>
        <w:t xml:space="preserve"> State Bar of Arizona, 1994; </w:t>
      </w:r>
      <w:r w:rsidRPr="00701B67">
        <w:rPr>
          <w:rFonts w:asciiTheme="minorHAnsi" w:hAnsiTheme="minorHAnsi"/>
          <w:i/>
          <w:color w:val="000000"/>
          <w:sz w:val="24"/>
          <w:szCs w:val="24"/>
        </w:rPr>
        <w:t>“Litigation Ethics,”</w:t>
      </w:r>
      <w:r w:rsidRPr="00701B67">
        <w:rPr>
          <w:rFonts w:asciiTheme="minorHAnsi" w:hAnsiTheme="minorHAnsi"/>
          <w:color w:val="000000"/>
          <w:sz w:val="24"/>
          <w:szCs w:val="24"/>
        </w:rPr>
        <w:t xml:space="preserve"> Lexis-Nexis Publishing, 1998; </w:t>
      </w:r>
      <w:r w:rsidRPr="00701B67">
        <w:rPr>
          <w:rFonts w:asciiTheme="minorHAnsi" w:hAnsiTheme="minorHAnsi"/>
          <w:i/>
          <w:color w:val="000000"/>
          <w:sz w:val="24"/>
          <w:szCs w:val="24"/>
        </w:rPr>
        <w:t>“The Gallup 14,”</w:t>
      </w:r>
      <w:r w:rsidRPr="00701B67">
        <w:rPr>
          <w:rFonts w:asciiTheme="minorHAnsi" w:hAnsiTheme="minorHAnsi"/>
          <w:color w:val="000000"/>
          <w:sz w:val="24"/>
          <w:szCs w:val="24"/>
        </w:rPr>
        <w:t xml:space="preserve"> a novel, University of New Mexico Press, 2000; </w:t>
      </w:r>
      <w:r w:rsidRPr="00701B67">
        <w:rPr>
          <w:rFonts w:asciiTheme="minorHAnsi" w:hAnsiTheme="minorHAnsi"/>
          <w:i/>
          <w:color w:val="000000"/>
          <w:sz w:val="24"/>
          <w:szCs w:val="24"/>
        </w:rPr>
        <w:t>“Miranda—The Story of America’s Right to Remain Silent,”</w:t>
      </w:r>
      <w:r w:rsidRPr="00701B67">
        <w:rPr>
          <w:rFonts w:asciiTheme="minorHAnsi" w:hAnsiTheme="minorHAnsi"/>
          <w:color w:val="000000"/>
          <w:sz w:val="24"/>
          <w:szCs w:val="24"/>
        </w:rPr>
        <w:t xml:space="preserve"> University of Arizona Press, 2004, </w:t>
      </w:r>
      <w:r w:rsidRPr="00701B67">
        <w:rPr>
          <w:rFonts w:asciiTheme="minorHAnsi" w:hAnsiTheme="minorHAnsi"/>
          <w:i/>
          <w:color w:val="000000"/>
          <w:sz w:val="24"/>
          <w:szCs w:val="24"/>
        </w:rPr>
        <w:t>“AIM For The Mayor—Echoes from Wounded Knee,”</w:t>
      </w:r>
      <w:r w:rsidRPr="00701B67">
        <w:rPr>
          <w:rFonts w:asciiTheme="minorHAnsi" w:hAnsiTheme="minorHAnsi"/>
          <w:color w:val="000000"/>
          <w:sz w:val="24"/>
          <w:szCs w:val="24"/>
        </w:rPr>
        <w:t xml:space="preserve"> a novel, Xlibris Publishing, 2008, and “</w:t>
      </w:r>
      <w:r w:rsidRPr="00701B67">
        <w:rPr>
          <w:rFonts w:asciiTheme="minorHAnsi" w:hAnsiTheme="minorHAnsi"/>
          <w:i/>
          <w:color w:val="000000"/>
          <w:sz w:val="24"/>
          <w:szCs w:val="24"/>
        </w:rPr>
        <w:t>Innocent Until Interrogated—The Story of the Buddhist Temple Massacre and the Tucson Four.</w:t>
      </w:r>
      <w:r w:rsidRPr="00701B67">
        <w:rPr>
          <w:rFonts w:asciiTheme="minorHAnsi" w:hAnsiTheme="minorHAnsi"/>
          <w:color w:val="000000"/>
          <w:sz w:val="24"/>
          <w:szCs w:val="24"/>
        </w:rPr>
        <w:t>” University of Arizona Press, September 2010.</w:t>
      </w:r>
    </w:p>
    <w:sectPr w:rsidR="00766273" w:rsidRPr="00701B67" w:rsidSect="00B04DCD">
      <w:type w:val="continuous"/>
      <w:pgSz w:w="12240" w:h="15840" w:code="1"/>
      <w:pgMar w:top="1440" w:right="1440" w:bottom="1440" w:left="1440" w:header="432" w:footer="36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80"/>
  <w:proofState w:spelling="clean" w:grammar="clean"/>
  <w:attachedTemplate r:id="rId1"/>
  <w:defaultTabStop w:val="720"/>
  <w:drawingGridHorizontalSpacing w:val="110"/>
  <w:displayHorizontalDrawingGridEvery w:val="2"/>
  <w:displayVerticalDrawingGridEvery w:val="2"/>
  <w:characterSpacingControl w:val="doNotCompress"/>
  <w:compat/>
  <w:rsids>
    <w:rsidRoot w:val="00701B67"/>
    <w:rsid w:val="00003474"/>
    <w:rsid w:val="00005EBB"/>
    <w:rsid w:val="000060EE"/>
    <w:rsid w:val="0001143D"/>
    <w:rsid w:val="00023625"/>
    <w:rsid w:val="00044518"/>
    <w:rsid w:val="0006309E"/>
    <w:rsid w:val="0006590D"/>
    <w:rsid w:val="00075664"/>
    <w:rsid w:val="00077397"/>
    <w:rsid w:val="00091066"/>
    <w:rsid w:val="000A1A0C"/>
    <w:rsid w:val="000A3165"/>
    <w:rsid w:val="000E1601"/>
    <w:rsid w:val="000F001A"/>
    <w:rsid w:val="00105799"/>
    <w:rsid w:val="00110241"/>
    <w:rsid w:val="00123131"/>
    <w:rsid w:val="00124A91"/>
    <w:rsid w:val="00136013"/>
    <w:rsid w:val="00141212"/>
    <w:rsid w:val="00141CDA"/>
    <w:rsid w:val="001C1835"/>
    <w:rsid w:val="001D1A40"/>
    <w:rsid w:val="00210A19"/>
    <w:rsid w:val="00211A46"/>
    <w:rsid w:val="00216EEA"/>
    <w:rsid w:val="00223BBB"/>
    <w:rsid w:val="00265FD3"/>
    <w:rsid w:val="00275BA1"/>
    <w:rsid w:val="002C5BAC"/>
    <w:rsid w:val="00314146"/>
    <w:rsid w:val="00344005"/>
    <w:rsid w:val="00381766"/>
    <w:rsid w:val="003B49B8"/>
    <w:rsid w:val="003E20E1"/>
    <w:rsid w:val="003F6BB6"/>
    <w:rsid w:val="00406136"/>
    <w:rsid w:val="0041151E"/>
    <w:rsid w:val="004656FE"/>
    <w:rsid w:val="004810EA"/>
    <w:rsid w:val="00494D2E"/>
    <w:rsid w:val="004F56B0"/>
    <w:rsid w:val="00502840"/>
    <w:rsid w:val="00560C39"/>
    <w:rsid w:val="005718A8"/>
    <w:rsid w:val="00591B3A"/>
    <w:rsid w:val="005A1AF5"/>
    <w:rsid w:val="005B6B65"/>
    <w:rsid w:val="005C32BD"/>
    <w:rsid w:val="005C4C76"/>
    <w:rsid w:val="005D6808"/>
    <w:rsid w:val="005D71D4"/>
    <w:rsid w:val="00621D0C"/>
    <w:rsid w:val="00663D07"/>
    <w:rsid w:val="00686300"/>
    <w:rsid w:val="006919F5"/>
    <w:rsid w:val="006C2ED8"/>
    <w:rsid w:val="006C75BC"/>
    <w:rsid w:val="006D00B1"/>
    <w:rsid w:val="006D2932"/>
    <w:rsid w:val="006D3254"/>
    <w:rsid w:val="006E5CF6"/>
    <w:rsid w:val="006E63A2"/>
    <w:rsid w:val="00701B67"/>
    <w:rsid w:val="00713A07"/>
    <w:rsid w:val="00721E26"/>
    <w:rsid w:val="0072712B"/>
    <w:rsid w:val="007351A5"/>
    <w:rsid w:val="00745211"/>
    <w:rsid w:val="0076169A"/>
    <w:rsid w:val="00766273"/>
    <w:rsid w:val="00774A3F"/>
    <w:rsid w:val="00796D41"/>
    <w:rsid w:val="00810DD0"/>
    <w:rsid w:val="008117E5"/>
    <w:rsid w:val="00814E11"/>
    <w:rsid w:val="008534EC"/>
    <w:rsid w:val="00865436"/>
    <w:rsid w:val="008A029B"/>
    <w:rsid w:val="008A48C7"/>
    <w:rsid w:val="008A59D5"/>
    <w:rsid w:val="008F1E01"/>
    <w:rsid w:val="00904B9D"/>
    <w:rsid w:val="00951AD7"/>
    <w:rsid w:val="00970651"/>
    <w:rsid w:val="009B09AF"/>
    <w:rsid w:val="009D4979"/>
    <w:rsid w:val="009E03FB"/>
    <w:rsid w:val="009E08D3"/>
    <w:rsid w:val="009E2BCC"/>
    <w:rsid w:val="009E598A"/>
    <w:rsid w:val="00A3210C"/>
    <w:rsid w:val="00A426C1"/>
    <w:rsid w:val="00A42E4D"/>
    <w:rsid w:val="00A805D9"/>
    <w:rsid w:val="00A90042"/>
    <w:rsid w:val="00AC413D"/>
    <w:rsid w:val="00B04DCD"/>
    <w:rsid w:val="00B11911"/>
    <w:rsid w:val="00B45E7D"/>
    <w:rsid w:val="00B5306A"/>
    <w:rsid w:val="00BA2C54"/>
    <w:rsid w:val="00BB467A"/>
    <w:rsid w:val="00C14CA3"/>
    <w:rsid w:val="00C24C06"/>
    <w:rsid w:val="00C2740F"/>
    <w:rsid w:val="00C56E12"/>
    <w:rsid w:val="00C57FD5"/>
    <w:rsid w:val="00C67CD9"/>
    <w:rsid w:val="00CA0BC2"/>
    <w:rsid w:val="00CB1160"/>
    <w:rsid w:val="00CB4A5D"/>
    <w:rsid w:val="00D23E28"/>
    <w:rsid w:val="00D348B5"/>
    <w:rsid w:val="00D40A32"/>
    <w:rsid w:val="00DA7F46"/>
    <w:rsid w:val="00E158AD"/>
    <w:rsid w:val="00E2684E"/>
    <w:rsid w:val="00E4419C"/>
    <w:rsid w:val="00E47EFF"/>
    <w:rsid w:val="00E758CC"/>
    <w:rsid w:val="00E97CAE"/>
    <w:rsid w:val="00EC32D0"/>
    <w:rsid w:val="00EF34A7"/>
    <w:rsid w:val="00F45E32"/>
    <w:rsid w:val="00F807A2"/>
    <w:rsid w:val="00F87F99"/>
    <w:rsid w:val="00F97CA1"/>
    <w:rsid w:val="00FB2E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B67"/>
    <w:pPr>
      <w:spacing w:after="240"/>
      <w:ind w:firstLine="720"/>
    </w:pPr>
    <w:rPr>
      <w:rFonts w:ascii="Calibri" w:eastAsia="Times New Roman" w:hAnsi="Calibri" w:cs="Courier Ne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4A91"/>
    <w:pPr>
      <w:spacing w:after="0" w:line="240" w:lineRule="auto"/>
    </w:pPr>
  </w:style>
  <w:style w:type="table" w:styleId="TableGrid">
    <w:name w:val="Table Grid"/>
    <w:basedOn w:val="TableNormal"/>
    <w:uiPriority w:val="59"/>
    <w:rsid w:val="00701B67"/>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01B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arylstuar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thicslaw.com" TargetMode="External"/><Relationship Id="rId5" Type="http://schemas.openxmlformats.org/officeDocument/2006/relationships/hyperlink" Target="mailto:gary.stuart@asu.edu" TargetMode="External"/><Relationship Id="rId4" Type="http://schemas.openxmlformats.org/officeDocument/2006/relationships/hyperlink" Target="mailto:gstuart@keyed.com" TargetMode="Externa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ry\Application%20Data\Microsoft\Templates\GLS%20Preferred%20Template%201207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GLS Preferred Template 120709.dotx</Template>
  <TotalTime>14</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 Stuart</dc:creator>
  <cp:keywords/>
  <dc:description/>
  <cp:lastModifiedBy>Gary L. Stuart</cp:lastModifiedBy>
  <cp:revision>2</cp:revision>
  <dcterms:created xsi:type="dcterms:W3CDTF">2011-08-19T16:53:00Z</dcterms:created>
  <dcterms:modified xsi:type="dcterms:W3CDTF">2011-08-19T17:08:00Z</dcterms:modified>
</cp:coreProperties>
</file>